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DB" w:rsidRDefault="00CC28B8" w:rsidP="00CC28B8">
      <w:pPr>
        <w:pStyle w:val="Header"/>
        <w:rPr>
          <w:b/>
          <w:bCs/>
          <w:color w:val="76923C" w:themeColor="accent3" w:themeShade="BF"/>
          <w:sz w:val="24"/>
          <w:szCs w:val="24"/>
        </w:rPr>
      </w:pPr>
      <w:r>
        <w:rPr>
          <w:b/>
          <w:bCs/>
          <w:color w:val="76923C" w:themeColor="accent3" w:themeShade="BF"/>
          <w:sz w:val="24"/>
          <w:szCs w:val="24"/>
        </w:rPr>
        <w:t xml:space="preserve">                                        </w:t>
      </w:r>
    </w:p>
    <w:p w:rsidR="005264DB" w:rsidRDefault="00CC28B8" w:rsidP="00CC28B8">
      <w:pPr>
        <w:pStyle w:val="Header"/>
        <w:rPr>
          <w:b/>
          <w:bCs/>
          <w:color w:val="76923C" w:themeColor="accent3" w:themeShade="BF"/>
          <w:sz w:val="24"/>
          <w:szCs w:val="24"/>
        </w:rPr>
      </w:pPr>
      <w:r>
        <w:rPr>
          <w:b/>
          <w:bCs/>
          <w:color w:val="76923C" w:themeColor="accent3" w:themeShade="BF"/>
          <w:sz w:val="24"/>
          <w:szCs w:val="24"/>
        </w:rPr>
        <w:t xml:space="preserve"> </w:t>
      </w:r>
    </w:p>
    <w:tbl>
      <w:tblPr>
        <w:tblStyle w:val="TableGrid"/>
        <w:tblW w:w="0" w:type="auto"/>
        <w:tblLook w:val="04A0"/>
      </w:tblPr>
      <w:tblGrid>
        <w:gridCol w:w="7054"/>
        <w:gridCol w:w="2188"/>
      </w:tblGrid>
      <w:tr w:rsidR="005264DB" w:rsidTr="005264DB">
        <w:tc>
          <w:tcPr>
            <w:tcW w:w="7054" w:type="dxa"/>
          </w:tcPr>
          <w:p w:rsidR="005264DB" w:rsidRPr="005264DB" w:rsidRDefault="005264DB" w:rsidP="005264DB">
            <w:pPr>
              <w:pStyle w:val="Header"/>
              <w:jc w:val="center"/>
              <w:rPr>
                <w:b/>
                <w:bCs/>
                <w:sz w:val="36"/>
                <w:szCs w:val="36"/>
              </w:rPr>
            </w:pPr>
            <w:r w:rsidRPr="005264DB">
              <w:rPr>
                <w:b/>
                <w:bCs/>
                <w:sz w:val="36"/>
                <w:szCs w:val="36"/>
              </w:rPr>
              <w:t>NHS Fife Immunisation Service</w:t>
            </w:r>
          </w:p>
          <w:p w:rsidR="005264DB" w:rsidRPr="005264DB" w:rsidRDefault="005264DB" w:rsidP="005264DB">
            <w:pPr>
              <w:pStyle w:val="Header"/>
              <w:rPr>
                <w:b/>
                <w:bCs/>
                <w:sz w:val="32"/>
                <w:szCs w:val="32"/>
              </w:rPr>
            </w:pPr>
          </w:p>
          <w:p w:rsidR="005264DB" w:rsidRDefault="00E02C2E" w:rsidP="005264DB">
            <w:pPr>
              <w:pStyle w:val="Header"/>
              <w:jc w:val="center"/>
              <w:rPr>
                <w:b/>
                <w:bCs/>
                <w:sz w:val="32"/>
                <w:szCs w:val="32"/>
              </w:rPr>
            </w:pPr>
            <w:r>
              <w:rPr>
                <w:b/>
                <w:bCs/>
                <w:sz w:val="32"/>
                <w:szCs w:val="32"/>
              </w:rPr>
              <w:t>Meningococcal ACWY / MMR Vaccine A</w:t>
            </w:r>
            <w:r w:rsidR="005264DB" w:rsidRPr="005264DB">
              <w:rPr>
                <w:b/>
                <w:bCs/>
                <w:sz w:val="32"/>
                <w:szCs w:val="32"/>
              </w:rPr>
              <w:t xml:space="preserve">dvice for </w:t>
            </w:r>
          </w:p>
          <w:p w:rsidR="005264DB" w:rsidRPr="005264DB" w:rsidRDefault="005264DB" w:rsidP="005264DB">
            <w:pPr>
              <w:pStyle w:val="Header"/>
              <w:jc w:val="center"/>
              <w:rPr>
                <w:sz w:val="32"/>
                <w:szCs w:val="32"/>
              </w:rPr>
            </w:pPr>
            <w:r w:rsidRPr="005264DB">
              <w:rPr>
                <w:b/>
                <w:bCs/>
                <w:sz w:val="32"/>
                <w:szCs w:val="32"/>
              </w:rPr>
              <w:t>St Andrews University Students Sept</w:t>
            </w:r>
            <w:r>
              <w:rPr>
                <w:b/>
                <w:bCs/>
                <w:sz w:val="32"/>
                <w:szCs w:val="32"/>
              </w:rPr>
              <w:t>ember</w:t>
            </w:r>
            <w:r w:rsidRPr="005264DB">
              <w:rPr>
                <w:b/>
                <w:bCs/>
                <w:sz w:val="32"/>
                <w:szCs w:val="32"/>
              </w:rPr>
              <w:t xml:space="preserve"> 2020</w:t>
            </w:r>
          </w:p>
          <w:p w:rsidR="005264DB" w:rsidRDefault="005264DB" w:rsidP="00CC28B8">
            <w:pPr>
              <w:pStyle w:val="Header"/>
              <w:rPr>
                <w:b/>
                <w:bCs/>
                <w:color w:val="76923C" w:themeColor="accent3" w:themeShade="BF"/>
                <w:sz w:val="24"/>
                <w:szCs w:val="24"/>
              </w:rPr>
            </w:pPr>
          </w:p>
        </w:tc>
        <w:tc>
          <w:tcPr>
            <w:tcW w:w="2188" w:type="dxa"/>
          </w:tcPr>
          <w:p w:rsidR="005264DB" w:rsidRDefault="005264DB" w:rsidP="00CC28B8">
            <w:pPr>
              <w:pStyle w:val="Header"/>
              <w:rPr>
                <w:b/>
                <w:bCs/>
                <w:color w:val="76923C" w:themeColor="accent3" w:themeShade="BF"/>
                <w:sz w:val="24"/>
                <w:szCs w:val="24"/>
              </w:rPr>
            </w:pPr>
            <w:r w:rsidRPr="005264DB">
              <w:rPr>
                <w:b/>
                <w:bCs/>
                <w:noProof/>
                <w:color w:val="76923C" w:themeColor="accent3" w:themeShade="BF"/>
                <w:sz w:val="24"/>
                <w:szCs w:val="24"/>
                <w:lang w:eastAsia="en-GB"/>
              </w:rPr>
              <w:drawing>
                <wp:inline distT="0" distB="0" distL="0" distR="0">
                  <wp:extent cx="1209675" cy="1295400"/>
                  <wp:effectExtent l="19050" t="0" r="9525" b="0"/>
                  <wp:docPr id="1" name="Picture 1" descr="C:\Users\toddf\Downloads\Preventprotect 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f\Downloads\Preventprotect 0220.png"/>
                          <pic:cNvPicPr>
                            <a:picLocks noChangeAspect="1" noChangeArrowheads="1"/>
                          </pic:cNvPicPr>
                        </pic:nvPicPr>
                        <pic:blipFill>
                          <a:blip r:embed="rId4" cstate="print"/>
                          <a:srcRect/>
                          <a:stretch>
                            <a:fillRect/>
                          </a:stretch>
                        </pic:blipFill>
                        <pic:spPr bwMode="auto">
                          <a:xfrm>
                            <a:off x="0" y="0"/>
                            <a:ext cx="1209675" cy="1295400"/>
                          </a:xfrm>
                          <a:prstGeom prst="rect">
                            <a:avLst/>
                          </a:prstGeom>
                          <a:noFill/>
                          <a:ln w="9525">
                            <a:noFill/>
                            <a:miter lim="800000"/>
                            <a:headEnd/>
                            <a:tailEnd/>
                          </a:ln>
                        </pic:spPr>
                      </pic:pic>
                    </a:graphicData>
                  </a:graphic>
                </wp:inline>
              </w:drawing>
            </w:r>
          </w:p>
        </w:tc>
      </w:tr>
    </w:tbl>
    <w:p w:rsidR="00CC28B8" w:rsidRDefault="00CC28B8" w:rsidP="00CC28B8">
      <w:pPr>
        <w:pStyle w:val="Header"/>
      </w:pPr>
    </w:p>
    <w:p w:rsidR="00CC28B8" w:rsidRDefault="00CC28B8" w:rsidP="00CC28B8">
      <w:pPr>
        <w:pStyle w:val="Header"/>
      </w:pPr>
    </w:p>
    <w:p w:rsidR="00CC28B8" w:rsidRPr="00336ABC" w:rsidRDefault="00CC28B8" w:rsidP="00CC28B8">
      <w:pPr>
        <w:pStyle w:val="Header"/>
        <w:rPr>
          <w:b/>
        </w:rPr>
      </w:pPr>
      <w:r>
        <w:rPr>
          <w:b/>
        </w:rPr>
        <w:t>NHS Fife Immunisation service provides vaccinations to</w:t>
      </w:r>
      <w:r w:rsidRPr="00336ABC">
        <w:rPr>
          <w:b/>
        </w:rPr>
        <w:t xml:space="preserve"> the population of Fife.</w:t>
      </w:r>
    </w:p>
    <w:p w:rsidR="00CC28B8" w:rsidRPr="00336ABC" w:rsidRDefault="00CC28B8" w:rsidP="00CC28B8">
      <w:pPr>
        <w:pStyle w:val="Header"/>
        <w:rPr>
          <w:b/>
        </w:rPr>
      </w:pPr>
      <w:r w:rsidRPr="00336ABC">
        <w:rPr>
          <w:b/>
        </w:rPr>
        <w:t>You are about to embark on your university studies and we would encourage you to find out if you have missed having Meningococcal ACWY OR one or both Measles Mumps and Rubella vaccinations.</w:t>
      </w:r>
    </w:p>
    <w:p w:rsidR="00CC28B8" w:rsidRPr="00336ABC" w:rsidRDefault="00E02C2E" w:rsidP="00CC28B8">
      <w:pPr>
        <w:pStyle w:val="Header"/>
        <w:rPr>
          <w:b/>
        </w:rPr>
      </w:pPr>
      <w:r>
        <w:rPr>
          <w:b/>
        </w:rPr>
        <w:t>If you are unsure whether or not you</w:t>
      </w:r>
      <w:r w:rsidR="00CC28B8" w:rsidRPr="00336ABC">
        <w:rPr>
          <w:b/>
        </w:rPr>
        <w:t xml:space="preserve"> have </w:t>
      </w:r>
      <w:r w:rsidR="00CC28B8">
        <w:rPr>
          <w:b/>
        </w:rPr>
        <w:t xml:space="preserve">not received these </w:t>
      </w:r>
      <w:r w:rsidR="00CC28B8" w:rsidRPr="00336ABC">
        <w:rPr>
          <w:b/>
        </w:rPr>
        <w:t xml:space="preserve">we would encourage you to contact your GP </w:t>
      </w:r>
      <w:r>
        <w:rPr>
          <w:b/>
        </w:rPr>
        <w:t xml:space="preserve">Practice </w:t>
      </w:r>
      <w:r w:rsidR="00CC28B8" w:rsidRPr="00336ABC">
        <w:rPr>
          <w:b/>
        </w:rPr>
        <w:t>in the first instance.</w:t>
      </w:r>
    </w:p>
    <w:p w:rsidR="00CC28B8" w:rsidRDefault="00CC28B8" w:rsidP="00CC28B8">
      <w:pPr>
        <w:pStyle w:val="Header"/>
        <w:rPr>
          <w:b/>
        </w:rPr>
      </w:pPr>
      <w:r w:rsidRPr="00336ABC">
        <w:rPr>
          <w:b/>
        </w:rPr>
        <w:t>NHS Fife Immunisation service will be working alongside St Andrews University to provide vaccination clinics to those eligible students</w:t>
      </w:r>
      <w:r w:rsidR="006809CD">
        <w:rPr>
          <w:b/>
        </w:rPr>
        <w:t xml:space="preserve"> who are under the age of 25 years</w:t>
      </w:r>
      <w:r w:rsidRPr="00336ABC">
        <w:rPr>
          <w:b/>
        </w:rPr>
        <w:t>.</w:t>
      </w:r>
    </w:p>
    <w:p w:rsidR="000217EA" w:rsidRPr="00336ABC" w:rsidRDefault="000217EA" w:rsidP="00CC28B8">
      <w:pPr>
        <w:pStyle w:val="Header"/>
        <w:rPr>
          <w:b/>
        </w:rPr>
      </w:pPr>
    </w:p>
    <w:p w:rsidR="00CC28B8" w:rsidRPr="000728FF" w:rsidRDefault="00CC28B8" w:rsidP="00CC28B8">
      <w:pPr>
        <w:pStyle w:val="Header"/>
        <w:rPr>
          <w:b/>
          <w:sz w:val="32"/>
          <w:szCs w:val="32"/>
        </w:rPr>
      </w:pPr>
    </w:p>
    <w:p w:rsidR="00CC28B8" w:rsidRPr="000728FF" w:rsidRDefault="00CC28B8" w:rsidP="00CC28B8">
      <w:pPr>
        <w:pStyle w:val="Header"/>
        <w:rPr>
          <w:b/>
          <w:color w:val="FF0000"/>
          <w:sz w:val="28"/>
          <w:szCs w:val="28"/>
        </w:rPr>
      </w:pPr>
      <w:r w:rsidRPr="000728FF">
        <w:rPr>
          <w:b/>
          <w:color w:val="FF0000"/>
          <w:sz w:val="28"/>
          <w:szCs w:val="28"/>
        </w:rPr>
        <w:t xml:space="preserve">Why are these important </w:t>
      </w:r>
    </w:p>
    <w:p w:rsidR="00CC28B8" w:rsidRPr="00336ABC" w:rsidRDefault="00CC28B8" w:rsidP="00CC28B8">
      <w:pPr>
        <w:pStyle w:val="Header"/>
        <w:rPr>
          <w:b/>
        </w:rPr>
      </w:pPr>
    </w:p>
    <w:p w:rsidR="00CC28B8" w:rsidRDefault="00CC28B8" w:rsidP="00CC28B8">
      <w:pPr>
        <w:pStyle w:val="Header"/>
        <w:rPr>
          <w:b/>
          <w:u w:val="single"/>
        </w:rPr>
      </w:pPr>
      <w:r w:rsidRPr="00336ABC">
        <w:rPr>
          <w:b/>
          <w:u w:val="single"/>
        </w:rPr>
        <w:t xml:space="preserve">Meningococcal ACWY </w:t>
      </w:r>
    </w:p>
    <w:p w:rsidR="00CC28B8" w:rsidRDefault="00CC28B8" w:rsidP="00CC28B8">
      <w:pPr>
        <w:pStyle w:val="Header"/>
        <w:rPr>
          <w:b/>
        </w:rPr>
      </w:pPr>
      <w:r w:rsidRPr="00EF6AB6">
        <w:rPr>
          <w:b/>
        </w:rPr>
        <w:t xml:space="preserve">What is </w:t>
      </w:r>
      <w:proofErr w:type="spellStart"/>
      <w:r w:rsidRPr="00EF6AB6">
        <w:rPr>
          <w:b/>
        </w:rPr>
        <w:t>MenACWY</w:t>
      </w:r>
      <w:proofErr w:type="spellEnd"/>
      <w:r w:rsidRPr="00EF6AB6">
        <w:rPr>
          <w:b/>
        </w:rPr>
        <w:t xml:space="preserve">? </w:t>
      </w:r>
      <w:proofErr w:type="spellStart"/>
      <w:r w:rsidRPr="00EF6AB6">
        <w:rPr>
          <w:b/>
        </w:rPr>
        <w:t>MenACWY</w:t>
      </w:r>
      <w:proofErr w:type="spellEnd"/>
      <w:r w:rsidRPr="00EF6AB6">
        <w:rPr>
          <w:b/>
        </w:rPr>
        <w:t xml:space="preserve"> (meningococcal group A, C, W and Y bacteria) can cause meningitis (an infection of the lining of the brain) and septicaemia (blood poisoning). Meningitis and septicaemia are both very serious – they can cause permanent disability and death and the symptoms can come on quickly – so you must get treatment straight away. After babies, young people are particularly vulnerable to meningococcal infection.</w:t>
      </w:r>
    </w:p>
    <w:p w:rsidR="00CC28B8" w:rsidRDefault="00CC28B8" w:rsidP="00CC28B8">
      <w:pPr>
        <w:pStyle w:val="Header"/>
        <w:rPr>
          <w:b/>
        </w:rPr>
      </w:pPr>
      <w:r w:rsidRPr="00336ABC">
        <w:rPr>
          <w:b/>
        </w:rPr>
        <w:t xml:space="preserve">Meningitis and septicaemia are caused by several groups of meningococcal bacteria – the most common groups are </w:t>
      </w:r>
      <w:proofErr w:type="gramStart"/>
      <w:r w:rsidRPr="00336ABC">
        <w:rPr>
          <w:b/>
        </w:rPr>
        <w:t>A</w:t>
      </w:r>
      <w:proofErr w:type="gramEnd"/>
      <w:r w:rsidRPr="00336ABC">
        <w:rPr>
          <w:b/>
        </w:rPr>
        <w:t>, B, C, W and Y.</w:t>
      </w:r>
    </w:p>
    <w:p w:rsidR="00CC28B8" w:rsidRDefault="00CC28B8" w:rsidP="00CC28B8">
      <w:pPr>
        <w:pStyle w:val="Header"/>
        <w:rPr>
          <w:b/>
        </w:rPr>
      </w:pPr>
    </w:p>
    <w:p w:rsidR="00CC28B8" w:rsidRPr="00CC28B8" w:rsidRDefault="00CC28B8" w:rsidP="00CC28B8">
      <w:pPr>
        <w:pStyle w:val="Header"/>
        <w:rPr>
          <w:b/>
          <w:u w:val="single"/>
        </w:rPr>
      </w:pPr>
    </w:p>
    <w:p w:rsidR="00CC28B8" w:rsidRPr="00CC28B8" w:rsidRDefault="00CC28B8" w:rsidP="00CC28B8">
      <w:pPr>
        <w:pStyle w:val="Header"/>
        <w:rPr>
          <w:b/>
          <w:u w:val="single"/>
        </w:rPr>
      </w:pPr>
      <w:r w:rsidRPr="00CC28B8">
        <w:rPr>
          <w:b/>
          <w:u w:val="single"/>
        </w:rPr>
        <w:t>Measles Mumps and Rubella (MMR)</w:t>
      </w:r>
    </w:p>
    <w:p w:rsidR="00CC28B8" w:rsidRDefault="00CC28B8">
      <w:pPr>
        <w:rPr>
          <w:b/>
        </w:rPr>
      </w:pPr>
      <w:r w:rsidRPr="00CC28B8">
        <w:rPr>
          <w:b/>
        </w:rPr>
        <w:t>It is important that all y</w:t>
      </w:r>
      <w:r>
        <w:rPr>
          <w:b/>
        </w:rPr>
        <w:t xml:space="preserve">oung people have had two doses </w:t>
      </w:r>
      <w:r w:rsidRPr="00CC28B8">
        <w:rPr>
          <w:b/>
        </w:rPr>
        <w:t>of the MMR vaccine to help protect them against measles, mumps and rubella. If you haven’t had both doses yet, you may still be at risk. If you haven’t previously had two doses of the MMR vaccine, you may have another opportunity to get it. If this is your first dose, a second dose will increase protection and should be given a month after the first dose.</w:t>
      </w:r>
    </w:p>
    <w:p w:rsidR="00CC28B8" w:rsidRPr="000728FF" w:rsidRDefault="00CC28B8">
      <w:pPr>
        <w:rPr>
          <w:b/>
          <w:color w:val="FF0000"/>
          <w:sz w:val="28"/>
          <w:szCs w:val="28"/>
        </w:rPr>
      </w:pPr>
      <w:r w:rsidRPr="000728FF">
        <w:rPr>
          <w:b/>
          <w:color w:val="FF0000"/>
          <w:sz w:val="28"/>
          <w:szCs w:val="28"/>
        </w:rPr>
        <w:t>Where can you access further Information</w:t>
      </w:r>
    </w:p>
    <w:p w:rsidR="003A2DBC" w:rsidRPr="000C21F5" w:rsidRDefault="00632E63" w:rsidP="003A2DBC">
      <w:pPr>
        <w:rPr>
          <w:sz w:val="24"/>
          <w:szCs w:val="24"/>
        </w:rPr>
      </w:pPr>
      <w:hyperlink r:id="rId5" w:history="1">
        <w:r w:rsidR="003A2DBC" w:rsidRPr="000C21F5">
          <w:rPr>
            <w:rStyle w:val="Hyperlink"/>
            <w:b/>
            <w:color w:val="auto"/>
            <w:sz w:val="24"/>
            <w:szCs w:val="24"/>
          </w:rPr>
          <w:t>www.nhsinform.scot/immunisations</w:t>
        </w:r>
      </w:hyperlink>
    </w:p>
    <w:p w:rsidR="000728FF" w:rsidRPr="000C21F5" w:rsidRDefault="00632E63" w:rsidP="003A2DBC">
      <w:pPr>
        <w:rPr>
          <w:b/>
          <w:sz w:val="24"/>
          <w:szCs w:val="24"/>
        </w:rPr>
      </w:pPr>
      <w:hyperlink r:id="rId6" w:history="1">
        <w:r w:rsidR="005264DB" w:rsidRPr="000C21F5">
          <w:rPr>
            <w:rStyle w:val="Hyperlink"/>
            <w:b/>
            <w:color w:val="auto"/>
            <w:sz w:val="24"/>
            <w:szCs w:val="24"/>
          </w:rPr>
          <w:t>fife.immunisationqueries@nhs.scot</w:t>
        </w:r>
      </w:hyperlink>
    </w:p>
    <w:p w:rsidR="003A2DBC" w:rsidRDefault="003A2DBC">
      <w:pPr>
        <w:rPr>
          <w:b/>
          <w:sz w:val="32"/>
          <w:szCs w:val="32"/>
        </w:rPr>
      </w:pPr>
      <w:r w:rsidRPr="000728FF">
        <w:rPr>
          <w:b/>
          <w:sz w:val="32"/>
          <w:szCs w:val="32"/>
        </w:rPr>
        <w:t>NHS Fife Immunisation Service</w:t>
      </w:r>
      <w:r w:rsidR="005264DB">
        <w:rPr>
          <w:b/>
          <w:sz w:val="32"/>
          <w:szCs w:val="32"/>
        </w:rPr>
        <w:t>: Telephone</w:t>
      </w:r>
      <w:r w:rsidRPr="000728FF">
        <w:rPr>
          <w:b/>
          <w:sz w:val="32"/>
          <w:szCs w:val="32"/>
        </w:rPr>
        <w:t xml:space="preserve"> 01383 565456 </w:t>
      </w:r>
    </w:p>
    <w:p w:rsidR="005264DB" w:rsidRDefault="005264DB">
      <w:pPr>
        <w:rPr>
          <w:b/>
          <w:sz w:val="32"/>
          <w:szCs w:val="32"/>
        </w:rPr>
      </w:pPr>
    </w:p>
    <w:p w:rsidR="005264DB" w:rsidRPr="000728FF" w:rsidRDefault="005264DB">
      <w:pPr>
        <w:rPr>
          <w:b/>
          <w:sz w:val="32"/>
          <w:szCs w:val="32"/>
        </w:rPr>
      </w:pPr>
      <w:r>
        <w:rPr>
          <w:noProof/>
          <w:lang w:eastAsia="en-GB"/>
        </w:rPr>
        <w:drawing>
          <wp:inline distT="0" distB="0" distL="0" distR="0">
            <wp:extent cx="5731510" cy="679626"/>
            <wp:effectExtent l="19050" t="0" r="2540" b="0"/>
            <wp:docPr id="2" name="Picture 1" descr="FHSCP_eLett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CP_eLetter_footer"/>
                    <pic:cNvPicPr>
                      <a:picLocks noChangeAspect="1" noChangeArrowheads="1"/>
                    </pic:cNvPicPr>
                  </pic:nvPicPr>
                  <pic:blipFill>
                    <a:blip r:embed="rId7" cstate="print"/>
                    <a:srcRect/>
                    <a:stretch>
                      <a:fillRect/>
                    </a:stretch>
                  </pic:blipFill>
                  <pic:spPr bwMode="auto">
                    <a:xfrm>
                      <a:off x="0" y="0"/>
                      <a:ext cx="5731510" cy="679626"/>
                    </a:xfrm>
                    <a:prstGeom prst="rect">
                      <a:avLst/>
                    </a:prstGeom>
                    <a:noFill/>
                    <a:ln w="9525">
                      <a:noFill/>
                      <a:miter lim="800000"/>
                      <a:headEnd/>
                      <a:tailEnd/>
                    </a:ln>
                  </pic:spPr>
                </pic:pic>
              </a:graphicData>
            </a:graphic>
          </wp:inline>
        </w:drawing>
      </w:r>
    </w:p>
    <w:sectPr w:rsidR="005264DB" w:rsidRPr="000728FF" w:rsidSect="005264DB">
      <w:pgSz w:w="11906" w:h="16838"/>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8B8"/>
    <w:rsid w:val="000217EA"/>
    <w:rsid w:val="000728FF"/>
    <w:rsid w:val="000C21F5"/>
    <w:rsid w:val="001B516F"/>
    <w:rsid w:val="001C043F"/>
    <w:rsid w:val="003A2DBC"/>
    <w:rsid w:val="00484DB8"/>
    <w:rsid w:val="005264DB"/>
    <w:rsid w:val="00632E63"/>
    <w:rsid w:val="006809CD"/>
    <w:rsid w:val="008C21F6"/>
    <w:rsid w:val="00CC28B8"/>
    <w:rsid w:val="00E02C2E"/>
    <w:rsid w:val="00E24374"/>
    <w:rsid w:val="00F53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8B8"/>
  </w:style>
  <w:style w:type="paragraph" w:styleId="BalloonText">
    <w:name w:val="Balloon Text"/>
    <w:basedOn w:val="Normal"/>
    <w:link w:val="BalloonTextChar"/>
    <w:uiPriority w:val="99"/>
    <w:semiHidden/>
    <w:unhideWhenUsed/>
    <w:rsid w:val="00CC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B8"/>
    <w:rPr>
      <w:rFonts w:ascii="Tahoma" w:hAnsi="Tahoma" w:cs="Tahoma"/>
      <w:sz w:val="16"/>
      <w:szCs w:val="16"/>
    </w:rPr>
  </w:style>
  <w:style w:type="character" w:styleId="Hyperlink">
    <w:name w:val="Hyperlink"/>
    <w:basedOn w:val="DefaultParagraphFont"/>
    <w:uiPriority w:val="99"/>
    <w:unhideWhenUsed/>
    <w:rsid w:val="00CC28B8"/>
    <w:rPr>
      <w:color w:val="0000FF" w:themeColor="hyperlink"/>
      <w:u w:val="single"/>
    </w:rPr>
  </w:style>
  <w:style w:type="table" w:styleId="TableGrid">
    <w:name w:val="Table Grid"/>
    <w:basedOn w:val="TableNormal"/>
    <w:uiPriority w:val="59"/>
    <w:rsid w:val="0052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fe.immunisationqueries@nhs.scot" TargetMode="External"/><Relationship Id="rId5" Type="http://schemas.openxmlformats.org/officeDocument/2006/relationships/hyperlink" Target="http://www.nhsinform.scot/immunisation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toddf</dc:creator>
  <cp:lastModifiedBy>louiseb</cp:lastModifiedBy>
  <cp:revision>2</cp:revision>
  <cp:lastPrinted>2020-08-30T11:56:00Z</cp:lastPrinted>
  <dcterms:created xsi:type="dcterms:W3CDTF">2020-09-07T14:10:00Z</dcterms:created>
  <dcterms:modified xsi:type="dcterms:W3CDTF">2020-09-07T14:10:00Z</dcterms:modified>
</cp:coreProperties>
</file>